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8FC38" w14:textId="77777777" w:rsidR="00C42A0F" w:rsidRDefault="00000000">
      <w:pPr>
        <w:widowControl w:val="0"/>
        <w:tabs>
          <w:tab w:val="left" w:pos="1134"/>
        </w:tabs>
        <w:spacing w:after="0" w:line="276" w:lineRule="auto"/>
        <w:jc w:val="left"/>
        <w:rPr>
          <w:rFonts w:ascii="Arial" w:eastAsia="Arial" w:hAnsi="Arial" w:cs="Arial"/>
          <w:sz w:val="22"/>
          <w:szCs w:val="22"/>
        </w:rPr>
      </w:pPr>
      <w:r>
        <w:rPr>
          <w:noProof/>
        </w:rPr>
        <w:drawing>
          <wp:anchor distT="114300" distB="114300" distL="114300" distR="114300" simplePos="0" relativeHeight="251658240" behindDoc="0" locked="0" layoutInCell="1" hidden="0" allowOverlap="1" wp14:anchorId="74C9E2D3" wp14:editId="000FB4E3">
            <wp:simplePos x="0" y="0"/>
            <wp:positionH relativeFrom="column">
              <wp:posOffset>1870555</wp:posOffset>
            </wp:positionH>
            <wp:positionV relativeFrom="paragraph">
              <wp:posOffset>114300</wp:posOffset>
            </wp:positionV>
            <wp:extent cx="2021755" cy="1447482"/>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t="27101" b="32601"/>
                    <a:stretch>
                      <a:fillRect/>
                    </a:stretch>
                  </pic:blipFill>
                  <pic:spPr>
                    <a:xfrm>
                      <a:off x="0" y="0"/>
                      <a:ext cx="2021755" cy="1447482"/>
                    </a:xfrm>
                    <a:prstGeom prst="rect">
                      <a:avLst/>
                    </a:prstGeom>
                    <a:ln/>
                  </pic:spPr>
                </pic:pic>
              </a:graphicData>
            </a:graphic>
          </wp:anchor>
        </w:drawing>
      </w:r>
    </w:p>
    <w:p w14:paraId="0BD0D43A" w14:textId="77777777" w:rsidR="00C42A0F" w:rsidRDefault="00C42A0F">
      <w:pPr>
        <w:widowControl w:val="0"/>
        <w:tabs>
          <w:tab w:val="left" w:pos="1134"/>
        </w:tabs>
        <w:spacing w:after="0" w:line="276" w:lineRule="auto"/>
        <w:jc w:val="left"/>
        <w:rPr>
          <w:rFonts w:ascii="Arial" w:eastAsia="Arial" w:hAnsi="Arial" w:cs="Arial"/>
          <w:sz w:val="22"/>
          <w:szCs w:val="22"/>
        </w:rPr>
      </w:pPr>
    </w:p>
    <w:p w14:paraId="656A6D6A" w14:textId="77777777" w:rsidR="00C42A0F" w:rsidRDefault="00C42A0F">
      <w:pPr>
        <w:widowControl w:val="0"/>
        <w:tabs>
          <w:tab w:val="left" w:pos="1134"/>
        </w:tabs>
        <w:spacing w:after="0" w:line="276" w:lineRule="auto"/>
        <w:jc w:val="left"/>
        <w:rPr>
          <w:rFonts w:ascii="Arial" w:eastAsia="Arial" w:hAnsi="Arial" w:cs="Arial"/>
          <w:sz w:val="22"/>
          <w:szCs w:val="22"/>
        </w:rPr>
      </w:pPr>
    </w:p>
    <w:p w14:paraId="3EF46C20" w14:textId="77777777" w:rsidR="00C42A0F" w:rsidRDefault="00C42A0F">
      <w:pPr>
        <w:widowControl w:val="0"/>
        <w:tabs>
          <w:tab w:val="left" w:pos="1134"/>
        </w:tabs>
        <w:spacing w:after="0" w:line="276" w:lineRule="auto"/>
        <w:jc w:val="left"/>
        <w:rPr>
          <w:rFonts w:ascii="Arial" w:eastAsia="Arial" w:hAnsi="Arial" w:cs="Arial"/>
          <w:sz w:val="22"/>
          <w:szCs w:val="22"/>
        </w:rPr>
      </w:pPr>
    </w:p>
    <w:p w14:paraId="41E4E1B0" w14:textId="77777777" w:rsidR="00C42A0F" w:rsidRDefault="00C42A0F">
      <w:pPr>
        <w:widowControl w:val="0"/>
        <w:tabs>
          <w:tab w:val="left" w:pos="1134"/>
        </w:tabs>
        <w:spacing w:after="0" w:line="276" w:lineRule="auto"/>
        <w:jc w:val="left"/>
        <w:rPr>
          <w:rFonts w:ascii="Arial" w:eastAsia="Arial" w:hAnsi="Arial" w:cs="Arial"/>
          <w:sz w:val="22"/>
          <w:szCs w:val="22"/>
        </w:rPr>
      </w:pPr>
    </w:p>
    <w:p w14:paraId="04B30385" w14:textId="77777777" w:rsidR="00C42A0F" w:rsidRDefault="00C42A0F">
      <w:pPr>
        <w:widowControl w:val="0"/>
        <w:tabs>
          <w:tab w:val="left" w:pos="1134"/>
        </w:tabs>
        <w:spacing w:after="0" w:line="276" w:lineRule="auto"/>
        <w:jc w:val="left"/>
        <w:rPr>
          <w:rFonts w:ascii="Arial" w:eastAsia="Arial" w:hAnsi="Arial" w:cs="Arial"/>
          <w:sz w:val="22"/>
          <w:szCs w:val="22"/>
        </w:rPr>
      </w:pPr>
    </w:p>
    <w:p w14:paraId="629AABFA" w14:textId="77777777" w:rsidR="00C42A0F" w:rsidRDefault="00C42A0F">
      <w:pPr>
        <w:widowControl w:val="0"/>
        <w:tabs>
          <w:tab w:val="left" w:pos="1134"/>
        </w:tabs>
        <w:spacing w:after="0" w:line="276" w:lineRule="auto"/>
        <w:jc w:val="left"/>
        <w:rPr>
          <w:rFonts w:ascii="Arial" w:eastAsia="Arial" w:hAnsi="Arial" w:cs="Arial"/>
          <w:sz w:val="22"/>
          <w:szCs w:val="22"/>
        </w:rPr>
      </w:pPr>
    </w:p>
    <w:p w14:paraId="62C48B88" w14:textId="77777777" w:rsidR="00C42A0F" w:rsidRDefault="00C42A0F">
      <w:pPr>
        <w:widowControl w:val="0"/>
        <w:tabs>
          <w:tab w:val="left" w:pos="1134"/>
        </w:tabs>
        <w:spacing w:after="0" w:line="276" w:lineRule="auto"/>
        <w:jc w:val="left"/>
        <w:rPr>
          <w:rFonts w:ascii="Arial" w:eastAsia="Arial" w:hAnsi="Arial" w:cs="Arial"/>
          <w:sz w:val="22"/>
          <w:szCs w:val="22"/>
        </w:rPr>
      </w:pPr>
    </w:p>
    <w:p w14:paraId="2929C7F5" w14:textId="77777777" w:rsidR="00C42A0F" w:rsidRDefault="00C42A0F">
      <w:pPr>
        <w:widowControl w:val="0"/>
        <w:tabs>
          <w:tab w:val="left" w:pos="1134"/>
        </w:tabs>
        <w:spacing w:after="0" w:line="276" w:lineRule="auto"/>
        <w:jc w:val="left"/>
        <w:rPr>
          <w:rFonts w:ascii="Arial" w:eastAsia="Arial" w:hAnsi="Arial" w:cs="Arial"/>
          <w:sz w:val="22"/>
          <w:szCs w:val="22"/>
        </w:rPr>
      </w:pPr>
    </w:p>
    <w:p w14:paraId="42E8DCE4" w14:textId="77777777" w:rsidR="00C42A0F" w:rsidRDefault="00C42A0F">
      <w:pPr>
        <w:widowControl w:val="0"/>
        <w:tabs>
          <w:tab w:val="left" w:pos="1134"/>
        </w:tabs>
        <w:spacing w:after="0" w:line="276" w:lineRule="auto"/>
        <w:jc w:val="left"/>
        <w:rPr>
          <w:rFonts w:ascii="Arial" w:eastAsia="Arial" w:hAnsi="Arial" w:cs="Arial"/>
          <w:sz w:val="22"/>
          <w:szCs w:val="22"/>
        </w:rPr>
      </w:pP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C42A0F" w14:paraId="11AEA9BC" w14:textId="77777777" w:rsidTr="00D9039D">
        <w:trPr>
          <w:trHeight w:val="210"/>
        </w:trPr>
        <w:tc>
          <w:tcPr>
            <w:tcW w:w="9062" w:type="dxa"/>
          </w:tcPr>
          <w:p w14:paraId="51356EF3" w14:textId="77777777" w:rsidR="00D9039D" w:rsidRDefault="00D9039D" w:rsidP="00D9039D">
            <w:pPr>
              <w:tabs>
                <w:tab w:val="left" w:pos="1134"/>
              </w:tabs>
              <w:spacing w:after="0" w:line="276" w:lineRule="auto"/>
              <w:jc w:val="center"/>
            </w:pPr>
          </w:p>
          <w:p w14:paraId="7A6EFD54" w14:textId="0040CE42" w:rsidR="00C42A0F" w:rsidRDefault="00000000" w:rsidP="00D9039D">
            <w:pPr>
              <w:tabs>
                <w:tab w:val="left" w:pos="1134"/>
              </w:tabs>
              <w:spacing w:after="0" w:line="276" w:lineRule="auto"/>
              <w:jc w:val="center"/>
            </w:pPr>
            <w:r>
              <w:t>Note juridique</w:t>
            </w:r>
          </w:p>
          <w:p w14:paraId="272D8960" w14:textId="77777777" w:rsidR="00253DF1" w:rsidRDefault="00253DF1" w:rsidP="00D9039D">
            <w:pPr>
              <w:tabs>
                <w:tab w:val="left" w:pos="1134"/>
              </w:tabs>
              <w:spacing w:after="0" w:line="276" w:lineRule="auto"/>
              <w:jc w:val="center"/>
            </w:pPr>
          </w:p>
          <w:p w14:paraId="4E8C1B6E" w14:textId="43199AE9" w:rsidR="00D9039D" w:rsidRDefault="00000000" w:rsidP="00253DF1">
            <w:pPr>
              <w:tabs>
                <w:tab w:val="left" w:pos="1134"/>
              </w:tabs>
              <w:spacing w:after="0" w:line="276" w:lineRule="auto"/>
              <w:jc w:val="center"/>
              <w:rPr>
                <w:b/>
                <w:bCs/>
              </w:rPr>
            </w:pPr>
            <w:r>
              <w:rPr>
                <w:b/>
                <w:bCs/>
              </w:rPr>
              <w:t xml:space="preserve">La responsabilité des </w:t>
            </w:r>
            <w:r w:rsidR="00FD7182">
              <w:rPr>
                <w:b/>
                <w:bCs/>
              </w:rPr>
              <w:t>États</w:t>
            </w:r>
            <w:r>
              <w:rPr>
                <w:b/>
                <w:bCs/>
              </w:rPr>
              <w:t xml:space="preserve"> pour complicité de génocide</w:t>
            </w:r>
          </w:p>
          <w:p w14:paraId="0EF96BF1" w14:textId="18FBE039" w:rsidR="00253DF1" w:rsidRPr="00253DF1" w:rsidRDefault="00253DF1" w:rsidP="00253DF1">
            <w:pPr>
              <w:tabs>
                <w:tab w:val="left" w:pos="1134"/>
              </w:tabs>
              <w:spacing w:after="0" w:line="276" w:lineRule="auto"/>
              <w:jc w:val="center"/>
              <w:rPr>
                <w:b/>
                <w:bCs/>
              </w:rPr>
            </w:pPr>
          </w:p>
        </w:tc>
      </w:tr>
    </w:tbl>
    <w:p w14:paraId="74B25913" w14:textId="77777777" w:rsidR="00C42A0F" w:rsidRDefault="00C42A0F">
      <w:pPr>
        <w:tabs>
          <w:tab w:val="left" w:pos="1134"/>
          <w:tab w:val="left" w:pos="2069"/>
        </w:tabs>
      </w:pPr>
    </w:p>
    <w:p w14:paraId="79102E8D" w14:textId="77777777" w:rsidR="00C42A0F" w:rsidRDefault="00000000">
      <w:pPr>
        <w:pStyle w:val="Titre1"/>
        <w:numPr>
          <w:ilvl w:val="0"/>
          <w:numId w:val="1"/>
        </w:numPr>
        <w:tabs>
          <w:tab w:val="left" w:pos="1134"/>
        </w:tabs>
      </w:pPr>
      <w:r>
        <w:t>Que disent les textes ?</w:t>
      </w:r>
    </w:p>
    <w:p w14:paraId="7CD6D2C7" w14:textId="77777777" w:rsidR="00C42A0F" w:rsidRDefault="00000000">
      <w:pPr>
        <w:tabs>
          <w:tab w:val="left" w:pos="1134"/>
        </w:tabs>
      </w:pPr>
      <w:r>
        <w:t xml:space="preserve">Le traité de référence en droit international concernant le génocide est la Convention pour la prévention et la répression du crime de génocide, adoptée en 1948, et ratifiée par plus de 150 </w:t>
      </w:r>
      <w:proofErr w:type="spellStart"/>
      <w:r>
        <w:t>Etats</w:t>
      </w:r>
      <w:proofErr w:type="spellEnd"/>
      <w:r>
        <w:t>. Les juridictions internationales ont reconnu que la Convention énonce des principes faisant partie du droit international coutumier général, que sont notamment de l’interdiction du génocide, ainsi que de l’obligation de prévenir le crime de génocide et celle de le sanctionner</w:t>
      </w:r>
      <w:r>
        <w:rPr>
          <w:vertAlign w:val="superscript"/>
        </w:rPr>
        <w:footnoteReference w:id="1"/>
      </w:r>
      <w:r>
        <w:t>.</w:t>
      </w:r>
    </w:p>
    <w:p w14:paraId="58610A5D" w14:textId="77777777" w:rsidR="00C42A0F" w:rsidRDefault="00000000">
      <w:pPr>
        <w:tabs>
          <w:tab w:val="left" w:pos="1134"/>
        </w:tabs>
      </w:pPr>
      <w:r>
        <w:t xml:space="preserve">Son article III se lit comme suit : </w:t>
      </w:r>
    </w:p>
    <w:p w14:paraId="1DD7652F" w14:textId="77777777" w:rsidR="00C42A0F" w:rsidRDefault="00000000">
      <w:pPr>
        <w:tabs>
          <w:tab w:val="left" w:pos="1134"/>
        </w:tabs>
        <w:ind w:left="708"/>
      </w:pPr>
      <w:r>
        <w:rPr>
          <w:i/>
          <w:iCs/>
        </w:rPr>
        <w:t xml:space="preserve">« Seront punis les actes suivants : a) Le génocide; b) L'entente en vue de commettre le génocide; c) L'incitation directe et publique à commettre le génocide; d) La tentative de génocide; e) </w:t>
      </w:r>
      <w:r>
        <w:rPr>
          <w:i/>
          <w:iCs/>
          <w:u w:val="single"/>
        </w:rPr>
        <w:t>La complicité dans le génocide</w:t>
      </w:r>
      <w:r>
        <w:rPr>
          <w:i/>
          <w:iCs/>
        </w:rPr>
        <w:t> »</w:t>
      </w:r>
      <w:r>
        <w:t>.</w:t>
      </w:r>
    </w:p>
    <w:p w14:paraId="6B5175EB" w14:textId="77777777" w:rsidR="00C42A0F" w:rsidRDefault="00000000">
      <w:pPr>
        <w:tabs>
          <w:tab w:val="left" w:pos="1134"/>
        </w:tabs>
      </w:pPr>
      <w:r>
        <w:t xml:space="preserve">Cet article consacre donc la complicité comme une infraction autonome, au même titre que le génocide lui-même. </w:t>
      </w:r>
    </w:p>
    <w:p w14:paraId="2F259AE7" w14:textId="77777777" w:rsidR="00C42A0F" w:rsidRDefault="00000000">
      <w:pPr>
        <w:tabs>
          <w:tab w:val="left" w:pos="1134"/>
        </w:tabs>
      </w:pPr>
      <w:r>
        <w:t xml:space="preserve">L’article Ier de la Convention de 1948 précise par ailleurs que les États parties s’engagent non seulement à punir, mais aussi à prévenir le génocide. Cette obligation est aujourd’hui considérée comme une obligation </w:t>
      </w:r>
      <w:r>
        <w:rPr>
          <w:i/>
          <w:iCs/>
        </w:rPr>
        <w:t xml:space="preserve">erga </w:t>
      </w:r>
      <w:proofErr w:type="spellStart"/>
      <w:r>
        <w:rPr>
          <w:i/>
          <w:iCs/>
        </w:rPr>
        <w:t>omnes</w:t>
      </w:r>
      <w:proofErr w:type="spellEnd"/>
      <w:r>
        <w:t xml:space="preserve">, engageant la communauté internationale dans son ensemble. </w:t>
      </w:r>
    </w:p>
    <w:p w14:paraId="50B4645D" w14:textId="77777777" w:rsidR="00C42A0F" w:rsidRDefault="00000000">
      <w:pPr>
        <w:tabs>
          <w:tab w:val="left" w:pos="1134"/>
        </w:tabs>
      </w:pPr>
      <w:r>
        <w:lastRenderedPageBreak/>
        <w:t>Enfin, l’article IX attribue compétence à la Cour internationale de Justice (CIJ) pour connaître des différends relatifs à l’application de la Convention, y compris ceux portant sur une éventuelle complicité d’un État.</w:t>
      </w:r>
    </w:p>
    <w:p w14:paraId="337B1276" w14:textId="77777777" w:rsidR="00C42A0F" w:rsidRDefault="00C42A0F">
      <w:pPr>
        <w:tabs>
          <w:tab w:val="left" w:pos="1134"/>
        </w:tabs>
      </w:pPr>
    </w:p>
    <w:p w14:paraId="13800812" w14:textId="77777777" w:rsidR="00C42A0F" w:rsidRDefault="00000000">
      <w:pPr>
        <w:pStyle w:val="Titre1"/>
        <w:numPr>
          <w:ilvl w:val="0"/>
          <w:numId w:val="1"/>
        </w:numPr>
        <w:tabs>
          <w:tab w:val="left" w:pos="1134"/>
        </w:tabs>
      </w:pPr>
      <w:r>
        <w:t>Que disent les juridictions ?</w:t>
      </w:r>
    </w:p>
    <w:p w14:paraId="31C24DCB" w14:textId="77777777" w:rsidR="00C42A0F" w:rsidRDefault="00000000">
      <w:pPr>
        <w:tabs>
          <w:tab w:val="left" w:pos="1134"/>
        </w:tabs>
      </w:pPr>
      <w:r>
        <w:t xml:space="preserve">Dans son arrêt </w:t>
      </w:r>
      <w:r>
        <w:rPr>
          <w:i/>
          <w:iCs/>
        </w:rPr>
        <w:t>Bosnie-Herzégovine c. Serbie-et-Monténégro</w:t>
      </w:r>
      <w:r>
        <w:t>, la CIJ a reconnu que l’article III de la Convention de 1948 s’appliquait non seulement à la responsabilité pénale individuelle, mais aussi à la responsabilité internationale des États</w:t>
      </w:r>
      <w:r>
        <w:rPr>
          <w:vertAlign w:val="superscript"/>
        </w:rPr>
        <w:footnoteReference w:id="2"/>
      </w:r>
      <w:r>
        <w:t xml:space="preserve">. </w:t>
      </w:r>
    </w:p>
    <w:p w14:paraId="062F2184" w14:textId="77777777" w:rsidR="00C42A0F" w:rsidRDefault="00000000">
      <w:pPr>
        <w:tabs>
          <w:tab w:val="left" w:pos="1134"/>
        </w:tabs>
      </w:pPr>
      <w:r>
        <w:t>Concernant la notion de complicité applicable aux États et ce qu’elle implique, la CIJ s’est référée à l’article 16 des articles de la Commission du droit international</w:t>
      </w:r>
      <w:r>
        <w:rPr>
          <w:vertAlign w:val="superscript"/>
        </w:rPr>
        <w:footnoteReference w:id="3"/>
      </w:r>
      <w:r>
        <w:t xml:space="preserve"> prévoyant que puisse être engagée la responsabilité internationale d’un État qui apporte aide ou assistance à un autre État dans la commission d’un fait internationalement illicite</w:t>
      </w:r>
      <w:r>
        <w:rPr>
          <w:vertAlign w:val="superscript"/>
        </w:rPr>
        <w:footnoteReference w:id="4"/>
      </w:r>
      <w:r>
        <w:t>.</w:t>
      </w:r>
    </w:p>
    <w:p w14:paraId="59258457" w14:textId="77777777" w:rsidR="00C42A0F" w:rsidRDefault="00000000">
      <w:pPr>
        <w:tabs>
          <w:tab w:val="left" w:pos="1134"/>
        </w:tabs>
      </w:pPr>
      <w:r>
        <w:t>Dans cette affaire, la Cour a jugé que la Serbie n’était pas responsable de complicité, faute de preuve de l’intention spécifique requise</w:t>
      </w:r>
      <w:r>
        <w:rPr>
          <w:vertAlign w:val="superscript"/>
        </w:rPr>
        <w:footnoteReference w:id="5"/>
      </w:r>
      <w:r>
        <w:t>. La Cour a en revanche retenu sa responsabilité pour manquement à l’obligation de prévention du génocide</w:t>
      </w:r>
      <w:r>
        <w:rPr>
          <w:vertAlign w:val="superscript"/>
        </w:rPr>
        <w:footnoteReference w:id="6"/>
      </w:r>
      <w:r>
        <w:t xml:space="preserve"> de Srebrenica et pour absence de coopération avec le Tribunal pénal international pour l’ex-Yougoslavie</w:t>
      </w:r>
      <w:r>
        <w:rPr>
          <w:vertAlign w:val="superscript"/>
        </w:rPr>
        <w:footnoteReference w:id="7"/>
      </w:r>
      <w:r>
        <w:t>.</w:t>
      </w:r>
    </w:p>
    <w:p w14:paraId="0F52F113" w14:textId="77777777" w:rsidR="00C42A0F" w:rsidRDefault="00000000">
      <w:pPr>
        <w:tabs>
          <w:tab w:val="left" w:pos="1134"/>
        </w:tabs>
      </w:pPr>
      <w:r>
        <w:t xml:space="preserve">Plus récemment, dans l’affaire </w:t>
      </w:r>
      <w:r>
        <w:rPr>
          <w:i/>
          <w:iCs/>
        </w:rPr>
        <w:t>Gambie c. Myanmar</w:t>
      </w:r>
      <w:r>
        <w:t>, la CIJ a rappelé le caractère objectif des obligations de prévention, soulignant qu’un État doit agir dès qu’il existe un risque sérieux de génocide</w:t>
      </w:r>
      <w:r>
        <w:rPr>
          <w:vertAlign w:val="superscript"/>
        </w:rPr>
        <w:footnoteReference w:id="8"/>
      </w:r>
      <w:r>
        <w:t>. Même si la question de la complicité n’y était pas directement tranchée, la solution de la Cour a renforcé l’idée que les États peuvent voir leur responsabilité engagée en raison de leur comportement face à un risque de génocide.</w:t>
      </w:r>
    </w:p>
    <w:p w14:paraId="7BF715DA" w14:textId="77777777" w:rsidR="00C42A0F" w:rsidRDefault="00C42A0F">
      <w:pPr>
        <w:tabs>
          <w:tab w:val="left" w:pos="1134"/>
        </w:tabs>
      </w:pPr>
    </w:p>
    <w:p w14:paraId="510E55FD" w14:textId="77777777" w:rsidR="00C42A0F" w:rsidRDefault="00C42A0F">
      <w:pPr>
        <w:tabs>
          <w:tab w:val="left" w:pos="1134"/>
        </w:tabs>
      </w:pPr>
    </w:p>
    <w:p w14:paraId="2E05A640" w14:textId="77777777" w:rsidR="00C42A0F" w:rsidRDefault="00000000">
      <w:pPr>
        <w:pStyle w:val="Titre1"/>
        <w:numPr>
          <w:ilvl w:val="0"/>
          <w:numId w:val="1"/>
        </w:numPr>
        <w:tabs>
          <w:tab w:val="left" w:pos="1134"/>
        </w:tabs>
      </w:pPr>
      <w:r>
        <w:t>Quelles actions ou abstentions tombent sous le coup de la complicité ?</w:t>
      </w:r>
    </w:p>
    <w:p w14:paraId="29C7A8D6" w14:textId="77777777" w:rsidR="00C42A0F" w:rsidRDefault="00000000">
      <w:pPr>
        <w:tabs>
          <w:tab w:val="left" w:pos="1134"/>
        </w:tabs>
      </w:pPr>
      <w:r>
        <w:t>La complicité peut résulter d’une action positive, telle que la fourniture d’armes, le financement, l’entraînement de forces armées ou encore un soutien logistique ou diplomatique qui contribue de manière significative à la réalisation du génocide. Elle peut également découler d’une abstention, notamment lorsqu’un État s’abstient sciemment d’interrompre une assistance alors qu’il a connaissance du risque de génocide.</w:t>
      </w:r>
    </w:p>
    <w:p w14:paraId="6BA4ED6F" w14:textId="77777777" w:rsidR="00C42A0F" w:rsidRDefault="00000000">
      <w:pPr>
        <w:tabs>
          <w:tab w:val="left" w:pos="1134"/>
        </w:tabs>
      </w:pPr>
      <w:r>
        <w:t>Toutefois, la charge probatoire est élevée car il ne suffit pas de démontrer la connaissance d’un risque ; la CIJ exige la preuve d’une intention spécifique de faciliter le génocide</w:t>
      </w:r>
      <w:r>
        <w:rPr>
          <w:vertAlign w:val="superscript"/>
        </w:rPr>
        <w:footnoteReference w:id="9"/>
      </w:r>
      <w:r>
        <w:t>. Cette interprétation restrictive est critiquée par certains auteurs considérant qu’une connaissance suffisante du risque devrait engager la responsabilité étatique.</w:t>
      </w:r>
    </w:p>
    <w:p w14:paraId="3135B768" w14:textId="77777777" w:rsidR="00C42A0F" w:rsidRDefault="00000000">
      <w:pPr>
        <w:tabs>
          <w:tab w:val="left" w:pos="1134"/>
        </w:tabs>
      </w:pPr>
      <w:r>
        <w:t>En pratique, il est donc plus fréquent que les États soient reconnus responsables pour manquement à l’obligation de prévention (article I), qui repose sur un standard plus souple, que pour complicité au sens strict de l’article III e). Néanmoins, la possibilité d’engager la responsabilité d’un État pour complicité demeure un outil juridique majeur, en particulier face à des situations où un État tiers fournit un appui déterminant à des acteurs engagés dans un génocide.</w:t>
      </w:r>
    </w:p>
    <w:sectPr w:rsidR="00C42A0F">
      <w:footerReference w:type="even" r:id="rId9"/>
      <w:footerReference w:type="default" r:id="rId10"/>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276C0" w14:textId="77777777" w:rsidR="00A16C6A" w:rsidRDefault="00A16C6A">
      <w:pPr>
        <w:spacing w:after="0" w:line="240" w:lineRule="auto"/>
      </w:pPr>
      <w:r>
        <w:separator/>
      </w:r>
    </w:p>
  </w:endnote>
  <w:endnote w:type="continuationSeparator" w:id="0">
    <w:p w14:paraId="7AE9AEEC" w14:textId="77777777" w:rsidR="00A16C6A" w:rsidRDefault="00A16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2F122CB-83E2-6D44-84E1-06F8E76749C2}"/>
    <w:embedBold r:id="rId2" w:fontKey="{FAE561D4-2FBC-524D-9AF7-9D8E4D3CB761}"/>
    <w:embedItalic r:id="rId3" w:fontKey="{6434EBDD-2CAB-234D-B608-6F24D4F1E208}"/>
  </w:font>
  <w:font w:name="Play">
    <w:panose1 w:val="020B0604020202020204"/>
    <w:charset w:val="00"/>
    <w:family w:val="auto"/>
    <w:pitch w:val="default"/>
    <w:embedRegular r:id="rId4" w:fontKey="{3A6BC955-9BFF-1348-95AA-3BDD4746326D}"/>
  </w:font>
  <w:font w:name="Aptos">
    <w:panose1 w:val="020B0004020202020204"/>
    <w:charset w:val="00"/>
    <w:family w:val="swiss"/>
    <w:pitch w:val="variable"/>
    <w:sig w:usb0="20000287" w:usb1="00000003" w:usb2="00000000" w:usb3="00000000" w:csb0="0000019F" w:csb1="00000000"/>
    <w:embedRegular r:id="rId5" w:fontKey="{BC2A806B-063B-A347-AD4D-522620229A7C}"/>
    <w:embedItalic r:id="rId6" w:fontKey="{CE719ED0-C08C-BB47-AA73-2E3C8494BB1C}"/>
  </w:font>
  <w:font w:name="Aptos Display">
    <w:panose1 w:val="020B0004020202020204"/>
    <w:charset w:val="00"/>
    <w:family w:val="swiss"/>
    <w:pitch w:val="variable"/>
    <w:sig w:usb0="20000287" w:usb1="00000003" w:usb2="00000000" w:usb3="00000000" w:csb0="0000019F" w:csb1="00000000"/>
    <w:embedRegular r:id="rId7" w:fontKey="{BAE62E49-1E8C-B944-99AD-F53300BAC3B5}"/>
  </w:font>
  <w:font w:name="Arial">
    <w:panose1 w:val="020B0604020202020204"/>
    <w:charset w:val="00"/>
    <w:family w:val="swiss"/>
    <w:pitch w:val="variable"/>
    <w:sig w:usb0="E0002EFF" w:usb1="C000785B" w:usb2="00000009" w:usb3="00000000" w:csb0="000001FF" w:csb1="00000000"/>
    <w:embedRegular r:id="rId8" w:fontKey="{AB17EC11-A274-C849-AF9A-8CFD024857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9806A" w14:textId="77777777" w:rsidR="00C42A0F"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3604557" w14:textId="77777777" w:rsidR="00C42A0F" w:rsidRDefault="00C42A0F">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A46A3" w14:textId="77777777" w:rsidR="00C42A0F"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9039D">
      <w:rPr>
        <w:noProof/>
        <w:color w:val="000000"/>
      </w:rPr>
      <w:t>1</w:t>
    </w:r>
    <w:r>
      <w:rPr>
        <w:color w:val="000000"/>
      </w:rPr>
      <w:fldChar w:fldCharType="end"/>
    </w:r>
  </w:p>
  <w:p w14:paraId="5B5489BE" w14:textId="77777777" w:rsidR="00C42A0F" w:rsidRDefault="00C42A0F">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EE94B" w14:textId="77777777" w:rsidR="00A16C6A" w:rsidRDefault="00A16C6A">
      <w:pPr>
        <w:spacing w:after="0" w:line="240" w:lineRule="auto"/>
      </w:pPr>
      <w:r>
        <w:separator/>
      </w:r>
    </w:p>
  </w:footnote>
  <w:footnote w:type="continuationSeparator" w:id="0">
    <w:p w14:paraId="639ECF5B" w14:textId="77777777" w:rsidR="00A16C6A" w:rsidRDefault="00A16C6A">
      <w:pPr>
        <w:spacing w:after="0" w:line="240" w:lineRule="auto"/>
      </w:pPr>
      <w:r>
        <w:continuationSeparator/>
      </w:r>
    </w:p>
  </w:footnote>
  <w:footnote w:id="1">
    <w:p w14:paraId="3C849FAD" w14:textId="77777777" w:rsidR="00C42A0F" w:rsidRDefault="00000000">
      <w:pPr>
        <w:pBdr>
          <w:top w:val="nil"/>
          <w:left w:val="nil"/>
          <w:bottom w:val="nil"/>
          <w:right w:val="nil"/>
          <w:between w:val="nil"/>
        </w:pBdr>
        <w:spacing w:after="0" w:line="240" w:lineRule="auto"/>
        <w:rPr>
          <w:color w:val="FF0000"/>
          <w:sz w:val="20"/>
          <w:szCs w:val="20"/>
        </w:rPr>
      </w:pPr>
      <w:r>
        <w:rPr>
          <w:vertAlign w:val="superscript"/>
        </w:rPr>
        <w:footnoteRef/>
      </w:r>
      <w:r>
        <w:rPr>
          <w:color w:val="000000"/>
          <w:sz w:val="20"/>
          <w:szCs w:val="20"/>
        </w:rPr>
        <w:t xml:space="preserve"> Voir par ex., CIJ, </w:t>
      </w:r>
      <w:r>
        <w:rPr>
          <w:i/>
          <w:iCs/>
          <w:color w:val="000000"/>
          <w:sz w:val="20"/>
          <w:szCs w:val="20"/>
        </w:rPr>
        <w:t>Réserves à la convention pour la prévention et la répression du génocide</w:t>
      </w:r>
      <w:r>
        <w:rPr>
          <w:color w:val="000000"/>
          <w:sz w:val="20"/>
          <w:szCs w:val="20"/>
        </w:rPr>
        <w:t>, avis, 28 mai 1951 ; TPIY, j</w:t>
      </w:r>
      <w:r>
        <w:rPr>
          <w:color w:val="000000"/>
          <w:sz w:val="20"/>
          <w:szCs w:val="20"/>
          <w:highlight w:val="white"/>
        </w:rPr>
        <w:t xml:space="preserve">ugement </w:t>
      </w:r>
      <w:proofErr w:type="spellStart"/>
      <w:r>
        <w:rPr>
          <w:color w:val="000000"/>
          <w:sz w:val="20"/>
          <w:szCs w:val="20"/>
          <w:highlight w:val="white"/>
        </w:rPr>
        <w:t>Krstic</w:t>
      </w:r>
      <w:proofErr w:type="spellEnd"/>
      <w:r>
        <w:rPr>
          <w:color w:val="000000"/>
          <w:sz w:val="20"/>
          <w:szCs w:val="20"/>
          <w:highlight w:val="white"/>
        </w:rPr>
        <w:t xml:space="preserve">, 2 août 2001 ; TPIR, jugement </w:t>
      </w:r>
      <w:proofErr w:type="spellStart"/>
      <w:r>
        <w:rPr>
          <w:color w:val="000000"/>
          <w:sz w:val="20"/>
          <w:szCs w:val="20"/>
          <w:highlight w:val="white"/>
        </w:rPr>
        <w:t>Semanza</w:t>
      </w:r>
      <w:proofErr w:type="spellEnd"/>
      <w:r>
        <w:rPr>
          <w:color w:val="000000"/>
          <w:sz w:val="20"/>
          <w:szCs w:val="20"/>
          <w:highlight w:val="white"/>
        </w:rPr>
        <w:t>, 15 mai 2003.</w:t>
      </w:r>
    </w:p>
  </w:footnote>
  <w:footnote w:id="2">
    <w:p w14:paraId="46EE7DD9" w14:textId="77777777" w:rsidR="00C42A0F"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CIJ, </w:t>
      </w:r>
      <w:r>
        <w:rPr>
          <w:i/>
          <w:iCs/>
          <w:color w:val="000000"/>
          <w:sz w:val="20"/>
          <w:szCs w:val="20"/>
        </w:rPr>
        <w:t>Application de la Convention sur la prévention et la répression du crime de Génocide (Bosnie-Herzégovine c. Serbie-et-Monténégro)</w:t>
      </w:r>
      <w:r>
        <w:rPr>
          <w:color w:val="000000"/>
          <w:sz w:val="20"/>
          <w:szCs w:val="20"/>
        </w:rPr>
        <w:t>, Jugement, 26 février 2007, § 167.</w:t>
      </w:r>
    </w:p>
  </w:footnote>
  <w:footnote w:id="3">
    <w:p w14:paraId="465ECB0B" w14:textId="77777777" w:rsidR="00C42A0F"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i/>
          <w:iCs/>
          <w:color w:val="000000"/>
          <w:sz w:val="20"/>
          <w:szCs w:val="20"/>
        </w:rPr>
        <w:t>Projet d’articles sur la responsabilité de l’</w:t>
      </w:r>
      <w:proofErr w:type="spellStart"/>
      <w:r>
        <w:rPr>
          <w:i/>
          <w:iCs/>
          <w:color w:val="000000"/>
          <w:sz w:val="20"/>
          <w:szCs w:val="20"/>
        </w:rPr>
        <w:t>Etat</w:t>
      </w:r>
      <w:proofErr w:type="spellEnd"/>
      <w:r>
        <w:rPr>
          <w:i/>
          <w:iCs/>
          <w:color w:val="000000"/>
          <w:sz w:val="20"/>
          <w:szCs w:val="20"/>
        </w:rPr>
        <w:t xml:space="preserve"> pour fait internationalement illicite</w:t>
      </w:r>
      <w:r>
        <w:rPr>
          <w:color w:val="000000"/>
          <w:sz w:val="20"/>
          <w:szCs w:val="20"/>
        </w:rPr>
        <w:t>, 2001, article 16.</w:t>
      </w:r>
    </w:p>
  </w:footnote>
  <w:footnote w:id="4">
    <w:p w14:paraId="3DA03D56" w14:textId="77777777" w:rsidR="00C42A0F"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CIJ, </w:t>
      </w:r>
      <w:r>
        <w:rPr>
          <w:i/>
          <w:iCs/>
          <w:color w:val="000000"/>
          <w:sz w:val="20"/>
          <w:szCs w:val="20"/>
        </w:rPr>
        <w:t>Application de la Convention sur la prévention et la répression du crime de Génocide (Bosnie-Herzégovine c. Serbie-et-Monténégro)</w:t>
      </w:r>
      <w:r>
        <w:rPr>
          <w:color w:val="000000"/>
          <w:sz w:val="20"/>
          <w:szCs w:val="20"/>
        </w:rPr>
        <w:t xml:space="preserve">, Jugement, 26 février 2007, § 420 ; voir à ce sujet : CORTEN (O.), « L’arrêt rendu par la CIJ dans l’affaire du Crime de génocide (Bosnie-Herzégovine c. Serbie) : vers un assouplissement des conditions permettant d’engager la responsabilité d’un État pour génocide ? », </w:t>
      </w:r>
      <w:r>
        <w:rPr>
          <w:i/>
          <w:iCs/>
          <w:color w:val="000000"/>
          <w:sz w:val="20"/>
          <w:szCs w:val="20"/>
        </w:rPr>
        <w:t>Annuaire français de droit international</w:t>
      </w:r>
      <w:r>
        <w:rPr>
          <w:color w:val="000000"/>
          <w:sz w:val="20"/>
          <w:szCs w:val="20"/>
        </w:rPr>
        <w:t>, 2007, vol. 53, p. 277.</w:t>
      </w:r>
    </w:p>
  </w:footnote>
  <w:footnote w:id="5">
    <w:p w14:paraId="475DEC00" w14:textId="77777777" w:rsidR="00C42A0F"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i/>
          <w:iCs/>
          <w:color w:val="000000"/>
          <w:sz w:val="20"/>
          <w:szCs w:val="20"/>
        </w:rPr>
        <w:t>Ibid</w:t>
      </w:r>
      <w:r>
        <w:rPr>
          <w:color w:val="000000"/>
          <w:sz w:val="20"/>
          <w:szCs w:val="20"/>
        </w:rPr>
        <w:t>., § 424.</w:t>
      </w:r>
    </w:p>
  </w:footnote>
  <w:footnote w:id="6">
    <w:p w14:paraId="79339B15" w14:textId="77777777" w:rsidR="00C42A0F"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i/>
          <w:iCs/>
          <w:color w:val="000000"/>
          <w:sz w:val="20"/>
          <w:szCs w:val="20"/>
        </w:rPr>
        <w:t>Ibid</w:t>
      </w:r>
      <w:r>
        <w:rPr>
          <w:color w:val="000000"/>
          <w:sz w:val="20"/>
          <w:szCs w:val="20"/>
        </w:rPr>
        <w:t>., § 450.</w:t>
      </w:r>
    </w:p>
  </w:footnote>
  <w:footnote w:id="7">
    <w:p w14:paraId="4BD161B9" w14:textId="77777777" w:rsidR="00C42A0F"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i/>
          <w:iCs/>
          <w:color w:val="000000"/>
          <w:sz w:val="20"/>
          <w:szCs w:val="20"/>
        </w:rPr>
        <w:t>Ibid</w:t>
      </w:r>
      <w:r>
        <w:rPr>
          <w:color w:val="000000"/>
          <w:sz w:val="20"/>
          <w:szCs w:val="20"/>
        </w:rPr>
        <w:t>., § 449.</w:t>
      </w:r>
    </w:p>
  </w:footnote>
  <w:footnote w:id="8">
    <w:p w14:paraId="3A9EE208" w14:textId="77777777" w:rsidR="00C42A0F"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CIJ, </w:t>
      </w:r>
      <w:r>
        <w:rPr>
          <w:i/>
          <w:iCs/>
          <w:color w:val="000000"/>
          <w:sz w:val="20"/>
          <w:szCs w:val="20"/>
        </w:rPr>
        <w:t>Application de la convention pour la prévention et la répression du crime de génocide (Gambie c. Myanmar)</w:t>
      </w:r>
      <w:r>
        <w:rPr>
          <w:color w:val="000000"/>
          <w:sz w:val="20"/>
          <w:szCs w:val="20"/>
        </w:rPr>
        <w:t>, Ordonnance, mesures conservatoires, 23 janvier 2020.</w:t>
      </w:r>
    </w:p>
  </w:footnote>
  <w:footnote w:id="9">
    <w:p w14:paraId="7C520EFD" w14:textId="77777777" w:rsidR="00C42A0F"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CIJ, </w:t>
      </w:r>
      <w:r>
        <w:rPr>
          <w:i/>
          <w:iCs/>
          <w:color w:val="000000"/>
          <w:sz w:val="20"/>
          <w:szCs w:val="20"/>
        </w:rPr>
        <w:t>Application de la Convention sur la prévention et la répression du crime de Génocide (Bosnie-Herzégovine c. Serbie-et-Monténégro)</w:t>
      </w:r>
      <w:r>
        <w:rPr>
          <w:color w:val="000000"/>
          <w:sz w:val="20"/>
          <w:szCs w:val="20"/>
        </w:rPr>
        <w:t xml:space="preserve">, Jugement, 26 février 2007, §§ 421-422 ; Voir à ce sujet : CARLI (E.), "On State </w:t>
      </w:r>
      <w:proofErr w:type="spellStart"/>
      <w:r>
        <w:rPr>
          <w:color w:val="000000"/>
          <w:sz w:val="20"/>
          <w:szCs w:val="20"/>
        </w:rPr>
        <w:t>Responsibility</w:t>
      </w:r>
      <w:proofErr w:type="spellEnd"/>
      <w:r>
        <w:rPr>
          <w:color w:val="000000"/>
          <w:sz w:val="20"/>
          <w:szCs w:val="20"/>
        </w:rPr>
        <w:t xml:space="preserve"> for </w:t>
      </w:r>
      <w:proofErr w:type="spellStart"/>
      <w:r>
        <w:rPr>
          <w:color w:val="000000"/>
          <w:sz w:val="20"/>
          <w:szCs w:val="20"/>
        </w:rPr>
        <w:t>Complicity</w:t>
      </w:r>
      <w:proofErr w:type="spellEnd"/>
      <w:r>
        <w:rPr>
          <w:color w:val="000000"/>
          <w:sz w:val="20"/>
          <w:szCs w:val="20"/>
        </w:rPr>
        <w:t xml:space="preserve"> in </w:t>
      </w:r>
      <w:proofErr w:type="spellStart"/>
      <w:r>
        <w:rPr>
          <w:color w:val="000000"/>
          <w:sz w:val="20"/>
          <w:szCs w:val="20"/>
        </w:rPr>
        <w:t>Genocide</w:t>
      </w:r>
      <w:proofErr w:type="spellEnd"/>
      <w:r>
        <w:rPr>
          <w:color w:val="000000"/>
          <w:sz w:val="20"/>
          <w:szCs w:val="20"/>
        </w:rPr>
        <w:t xml:space="preserve">: Will South </w:t>
      </w:r>
      <w:proofErr w:type="spellStart"/>
      <w:r>
        <w:rPr>
          <w:color w:val="000000"/>
          <w:sz w:val="20"/>
          <w:szCs w:val="20"/>
        </w:rPr>
        <w:t>Africa’s</w:t>
      </w:r>
      <w:proofErr w:type="spellEnd"/>
      <w:r>
        <w:rPr>
          <w:color w:val="000000"/>
          <w:sz w:val="20"/>
          <w:szCs w:val="20"/>
        </w:rPr>
        <w:t xml:space="preserve"> “All-In </w:t>
      </w:r>
      <w:proofErr w:type="spellStart"/>
      <w:r>
        <w:rPr>
          <w:color w:val="000000"/>
          <w:sz w:val="20"/>
          <w:szCs w:val="20"/>
        </w:rPr>
        <w:t>Strategy</w:t>
      </w:r>
      <w:proofErr w:type="spellEnd"/>
      <w:r>
        <w:rPr>
          <w:color w:val="000000"/>
          <w:sz w:val="20"/>
          <w:szCs w:val="20"/>
        </w:rPr>
        <w:t xml:space="preserve">” Be Effective?", </w:t>
      </w:r>
      <w:r>
        <w:rPr>
          <w:i/>
          <w:iCs/>
          <w:color w:val="000000"/>
          <w:sz w:val="20"/>
          <w:szCs w:val="20"/>
        </w:rPr>
        <w:t>EJIL : Talk !</w:t>
      </w:r>
      <w:r>
        <w:rPr>
          <w:color w:val="000000"/>
          <w:sz w:val="20"/>
          <w:szCs w:val="20"/>
        </w:rPr>
        <w:t>, 5 mars 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F0764"/>
    <w:multiLevelType w:val="multilevel"/>
    <w:tmpl w:val="8D44052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232360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A0F"/>
    <w:rsid w:val="00253DF1"/>
    <w:rsid w:val="00401CBE"/>
    <w:rsid w:val="004C0046"/>
    <w:rsid w:val="004C567D"/>
    <w:rsid w:val="008D0010"/>
    <w:rsid w:val="009D605B"/>
    <w:rsid w:val="00A16C6A"/>
    <w:rsid w:val="00C42A0F"/>
    <w:rsid w:val="00D9039D"/>
    <w:rsid w:val="00FD71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FFDC500"/>
  <w15:docId w15:val="{93EF7A2C-5592-E942-A218-26165D1DD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 w:eastAsia="fr-FR" w:bidi="ar-SA"/>
      </w:rPr>
    </w:rPrDefault>
    <w:pPrDefault>
      <w:pPr>
        <w:spacing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tabs>
        <w:tab w:val="left" w:pos="2069"/>
      </w:tabs>
      <w:ind w:left="1080" w:hanging="720"/>
      <w:outlineLvl w:val="0"/>
    </w:pPr>
    <w:rPr>
      <w:b/>
      <w:bCs/>
      <w:u w:val="single"/>
    </w:rPr>
  </w:style>
  <w:style w:type="paragraph" w:styleId="Titre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itre3">
    <w:name w:val="heading 3"/>
    <w:basedOn w:val="Normal"/>
    <w:next w:val="Normal"/>
    <w:uiPriority w:val="9"/>
    <w:semiHidden/>
    <w:unhideWhenUsed/>
    <w:qFormat/>
    <w:pPr>
      <w:keepNext/>
      <w:keepLines/>
      <w:spacing w:before="160" w:after="80"/>
      <w:outlineLvl w:val="2"/>
    </w:pPr>
    <w:rPr>
      <w:rFonts w:ascii="Aptos" w:eastAsia="Aptos" w:hAnsi="Aptos" w:cs="Aptos"/>
      <w:color w:val="0F4761"/>
      <w:sz w:val="28"/>
      <w:szCs w:val="28"/>
    </w:rPr>
  </w:style>
  <w:style w:type="paragraph" w:styleId="Titre4">
    <w:name w:val="heading 4"/>
    <w:basedOn w:val="Normal"/>
    <w:next w:val="Normal"/>
    <w:uiPriority w:val="9"/>
    <w:semiHidden/>
    <w:unhideWhenUsed/>
    <w:qFormat/>
    <w:pPr>
      <w:keepNext/>
      <w:keepLines/>
      <w:spacing w:before="80" w:after="40"/>
      <w:outlineLvl w:val="3"/>
    </w:pPr>
    <w:rPr>
      <w:rFonts w:ascii="Aptos" w:eastAsia="Aptos" w:hAnsi="Aptos" w:cs="Aptos"/>
      <w:i/>
      <w:iCs/>
      <w:color w:val="0F4761"/>
    </w:rPr>
  </w:style>
  <w:style w:type="paragraph" w:styleId="Titre5">
    <w:name w:val="heading 5"/>
    <w:basedOn w:val="Normal"/>
    <w:next w:val="Normal"/>
    <w:uiPriority w:val="9"/>
    <w:semiHidden/>
    <w:unhideWhenUsed/>
    <w:qFormat/>
    <w:pPr>
      <w:keepNext/>
      <w:keepLines/>
      <w:spacing w:before="80" w:after="40"/>
      <w:outlineLvl w:val="4"/>
    </w:pPr>
    <w:rPr>
      <w:rFonts w:ascii="Aptos" w:eastAsia="Aptos" w:hAnsi="Aptos" w:cs="Aptos"/>
      <w:color w:val="0F4761"/>
    </w:rPr>
  </w:style>
  <w:style w:type="paragraph" w:styleId="Titre6">
    <w:name w:val="heading 6"/>
    <w:basedOn w:val="Normal"/>
    <w:next w:val="Normal"/>
    <w:uiPriority w:val="9"/>
    <w:semiHidden/>
    <w:unhideWhenUsed/>
    <w:qFormat/>
    <w:pPr>
      <w:keepNext/>
      <w:keepLines/>
      <w:spacing w:before="40" w:after="0"/>
      <w:outlineLvl w:val="5"/>
    </w:pPr>
    <w:rPr>
      <w:rFonts w:ascii="Aptos" w:eastAsia="Aptos" w:hAnsi="Aptos" w:cs="Aptos"/>
      <w:i/>
      <w:iCs/>
      <w:color w:val="595959"/>
    </w:rPr>
  </w:style>
  <w:style w:type="paragraph" w:styleId="Titre7">
    <w:name w:val="heading 7"/>
    <w:basedOn w:val="Normal"/>
    <w:next w:val="Normal"/>
    <w:link w:val="Titre7Car"/>
    <w:uiPriority w:val="9"/>
    <w:semiHidden/>
    <w:unhideWhenUsed/>
    <w:qFormat/>
    <w:rsid w:val="00434C8A"/>
    <w:pPr>
      <w:keepNext/>
      <w:keepLines/>
      <w:spacing w:before="40" w:after="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434C8A"/>
    <w:pPr>
      <w:keepNext/>
      <w:keepLines/>
      <w:spacing w:after="0"/>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434C8A"/>
    <w:pPr>
      <w:keepNext/>
      <w:keepLines/>
      <w:spacing w:after="0"/>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spacing w:after="0"/>
      <w:jc w:val="center"/>
    </w:pPr>
    <w:rPr>
      <w:b/>
      <w:bCs/>
      <w:sz w:val="28"/>
      <w:szCs w:val="28"/>
      <w:u w:val="single"/>
    </w:rPr>
  </w:style>
  <w:style w:type="table" w:customStyle="1" w:styleId="TableNormal0">
    <w:name w:val="TableNormal"/>
    <w:tblPr>
      <w:tblCellMar>
        <w:top w:w="100" w:type="dxa"/>
        <w:left w:w="100" w:type="dxa"/>
        <w:bottom w:w="100" w:type="dxa"/>
        <w:right w:w="100" w:type="dxa"/>
      </w:tblCellMar>
    </w:tblPr>
  </w:style>
  <w:style w:type="character" w:customStyle="1" w:styleId="TitreCar">
    <w:name w:val="Titre Car"/>
    <w:basedOn w:val="Policepardfaut"/>
    <w:uiPriority w:val="10"/>
    <w:rsid w:val="008B0E8D"/>
    <w:rPr>
      <w:rFonts w:ascii="Times New Roman" w:eastAsiaTheme="majorEastAsia" w:hAnsi="Times New Roman" w:cstheme="majorBidi"/>
      <w:b/>
      <w:spacing w:val="-10"/>
      <w:kern w:val="28"/>
      <w:sz w:val="28"/>
      <w:szCs w:val="56"/>
      <w:u w:val="single"/>
    </w:rPr>
  </w:style>
  <w:style w:type="character" w:customStyle="1" w:styleId="Titre1Car">
    <w:name w:val="Titre 1 Car"/>
    <w:basedOn w:val="Policepardfaut"/>
    <w:uiPriority w:val="9"/>
    <w:rsid w:val="00434C8A"/>
    <w:rPr>
      <w:rFonts w:ascii="Times New Roman" w:hAnsi="Times New Roman"/>
      <w:b/>
      <w:bCs/>
      <w:u w:val="single"/>
    </w:rPr>
  </w:style>
  <w:style w:type="character" w:customStyle="1" w:styleId="Titre2Car">
    <w:name w:val="Titre 2 Car"/>
    <w:basedOn w:val="Policepardfaut"/>
    <w:uiPriority w:val="9"/>
    <w:semiHidden/>
    <w:rsid w:val="00434C8A"/>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uiPriority w:val="9"/>
    <w:semiHidden/>
    <w:rsid w:val="00434C8A"/>
    <w:rPr>
      <w:rFonts w:eastAsiaTheme="majorEastAsia" w:cstheme="majorBidi"/>
      <w:color w:val="0F4761" w:themeColor="accent1" w:themeShade="BF"/>
      <w:sz w:val="28"/>
      <w:szCs w:val="28"/>
    </w:rPr>
  </w:style>
  <w:style w:type="character" w:customStyle="1" w:styleId="Titre4Car">
    <w:name w:val="Titre 4 Car"/>
    <w:basedOn w:val="Policepardfaut"/>
    <w:uiPriority w:val="9"/>
    <w:semiHidden/>
    <w:rsid w:val="00434C8A"/>
    <w:rPr>
      <w:rFonts w:eastAsiaTheme="majorEastAsia" w:cstheme="majorBidi"/>
      <w:i/>
      <w:iCs/>
      <w:color w:val="0F4761" w:themeColor="accent1" w:themeShade="BF"/>
    </w:rPr>
  </w:style>
  <w:style w:type="character" w:customStyle="1" w:styleId="Titre5Car">
    <w:name w:val="Titre 5 Car"/>
    <w:basedOn w:val="Policepardfaut"/>
    <w:uiPriority w:val="9"/>
    <w:semiHidden/>
    <w:rsid w:val="00434C8A"/>
    <w:rPr>
      <w:rFonts w:eastAsiaTheme="majorEastAsia" w:cstheme="majorBidi"/>
      <w:color w:val="0F4761" w:themeColor="accent1" w:themeShade="BF"/>
    </w:rPr>
  </w:style>
  <w:style w:type="character" w:customStyle="1" w:styleId="Titre6Car">
    <w:name w:val="Titre 6 Car"/>
    <w:basedOn w:val="Policepardfaut"/>
    <w:uiPriority w:val="9"/>
    <w:semiHidden/>
    <w:rsid w:val="00434C8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34C8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34C8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34C8A"/>
    <w:rPr>
      <w:rFonts w:eastAsiaTheme="majorEastAsia" w:cstheme="majorBidi"/>
      <w:color w:val="272727" w:themeColor="text1" w:themeTint="D8"/>
    </w:rPr>
  </w:style>
  <w:style w:type="character" w:customStyle="1" w:styleId="Sous-titreCar">
    <w:name w:val="Sous-titre Car"/>
    <w:basedOn w:val="Policepardfaut"/>
    <w:uiPriority w:val="11"/>
    <w:rsid w:val="00434C8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34C8A"/>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434C8A"/>
    <w:rPr>
      <w:rFonts w:ascii="Times New Roman" w:hAnsi="Times New Roman"/>
      <w:i/>
      <w:iCs/>
      <w:color w:val="404040" w:themeColor="text1" w:themeTint="BF"/>
    </w:rPr>
  </w:style>
  <w:style w:type="paragraph" w:styleId="Paragraphedeliste">
    <w:name w:val="List Paragraph"/>
    <w:basedOn w:val="Normal"/>
    <w:uiPriority w:val="34"/>
    <w:qFormat/>
    <w:rsid w:val="00434C8A"/>
    <w:pPr>
      <w:ind w:left="720"/>
      <w:contextualSpacing/>
    </w:pPr>
  </w:style>
  <w:style w:type="character" w:styleId="Accentuationintense">
    <w:name w:val="Intense Emphasis"/>
    <w:basedOn w:val="Policepardfaut"/>
    <w:uiPriority w:val="21"/>
    <w:qFormat/>
    <w:rsid w:val="00434C8A"/>
    <w:rPr>
      <w:i/>
      <w:iCs/>
      <w:color w:val="0F4761" w:themeColor="accent1" w:themeShade="BF"/>
    </w:rPr>
  </w:style>
  <w:style w:type="paragraph" w:styleId="Citationintense">
    <w:name w:val="Intense Quote"/>
    <w:basedOn w:val="Normal"/>
    <w:next w:val="Normal"/>
    <w:link w:val="CitationintenseCar"/>
    <w:uiPriority w:val="30"/>
    <w:qFormat/>
    <w:rsid w:val="00434C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34C8A"/>
    <w:rPr>
      <w:rFonts w:ascii="Times New Roman" w:hAnsi="Times New Roman"/>
      <w:i/>
      <w:iCs/>
      <w:color w:val="0F4761" w:themeColor="accent1" w:themeShade="BF"/>
    </w:rPr>
  </w:style>
  <w:style w:type="character" w:styleId="Rfrenceintense">
    <w:name w:val="Intense Reference"/>
    <w:basedOn w:val="Policepardfaut"/>
    <w:uiPriority w:val="32"/>
    <w:qFormat/>
    <w:rsid w:val="00434C8A"/>
    <w:rPr>
      <w:b/>
      <w:bCs/>
      <w:smallCaps/>
      <w:color w:val="0F4761" w:themeColor="accent1" w:themeShade="BF"/>
      <w:spacing w:val="5"/>
    </w:rPr>
  </w:style>
  <w:style w:type="table" w:styleId="Grilledutableau">
    <w:name w:val="Table Grid"/>
    <w:basedOn w:val="TableauNormal"/>
    <w:uiPriority w:val="39"/>
    <w:rsid w:val="00434C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87326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73268"/>
    <w:rPr>
      <w:rFonts w:ascii="Times New Roman" w:hAnsi="Times New Roman"/>
      <w:sz w:val="20"/>
      <w:szCs w:val="20"/>
    </w:rPr>
  </w:style>
  <w:style w:type="character" w:styleId="Appelnotedebasdep">
    <w:name w:val="footnote reference"/>
    <w:basedOn w:val="Policepardfaut"/>
    <w:uiPriority w:val="99"/>
    <w:semiHidden/>
    <w:unhideWhenUsed/>
    <w:rsid w:val="00873268"/>
    <w:rPr>
      <w:vertAlign w:val="superscript"/>
    </w:rPr>
  </w:style>
  <w:style w:type="paragraph" w:styleId="En-tte">
    <w:name w:val="header"/>
    <w:basedOn w:val="Normal"/>
    <w:link w:val="En-tteCar"/>
    <w:uiPriority w:val="99"/>
    <w:unhideWhenUsed/>
    <w:rsid w:val="009A25D6"/>
    <w:pPr>
      <w:tabs>
        <w:tab w:val="center" w:pos="4536"/>
        <w:tab w:val="right" w:pos="9072"/>
      </w:tabs>
      <w:spacing w:after="0" w:line="240" w:lineRule="auto"/>
    </w:pPr>
  </w:style>
  <w:style w:type="character" w:customStyle="1" w:styleId="En-tteCar">
    <w:name w:val="En-tête Car"/>
    <w:basedOn w:val="Policepardfaut"/>
    <w:link w:val="En-tte"/>
    <w:uiPriority w:val="99"/>
    <w:rsid w:val="009A25D6"/>
    <w:rPr>
      <w:rFonts w:ascii="Times New Roman" w:hAnsi="Times New Roman"/>
    </w:rPr>
  </w:style>
  <w:style w:type="paragraph" w:styleId="Pieddepage">
    <w:name w:val="footer"/>
    <w:basedOn w:val="Normal"/>
    <w:link w:val="PieddepageCar"/>
    <w:uiPriority w:val="99"/>
    <w:unhideWhenUsed/>
    <w:rsid w:val="009A25D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A25D6"/>
    <w:rPr>
      <w:rFonts w:ascii="Times New Roman" w:hAnsi="Times New Roman"/>
    </w:rPr>
  </w:style>
  <w:style w:type="character" w:styleId="Numrodepage">
    <w:name w:val="page number"/>
    <w:basedOn w:val="Policepardfaut"/>
    <w:uiPriority w:val="99"/>
    <w:semiHidden/>
    <w:unhideWhenUsed/>
    <w:rsid w:val="009A25D6"/>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styleId="Sous-titre">
    <w:name w:val="Subtitle"/>
    <w:basedOn w:val="Normal"/>
    <w:next w:val="Normal"/>
    <w:uiPriority w:val="11"/>
    <w:qFormat/>
    <w:pPr>
      <w:spacing w:after="160"/>
    </w:pPr>
    <w:rPr>
      <w:rFonts w:ascii="Aptos" w:eastAsia="Aptos" w:hAnsi="Aptos" w:cs="Aptos"/>
      <w:color w:val="595959"/>
      <w:sz w:val="28"/>
      <w:szCs w:val="28"/>
    </w:r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F90DWobVyV5VyWTxB7Iv/42Gdw==">CgMxLjA4AHIhMWJUM0FfRnVOYk1XaGVVb0Jmb1lNMnl1ZXhBbUlpOUxz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645</Words>
  <Characters>3551</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Guillemette Jg</dc:creator>
  <cp:lastModifiedBy>Patrick Zahnd</cp:lastModifiedBy>
  <cp:revision>2</cp:revision>
  <dcterms:created xsi:type="dcterms:W3CDTF">2026-02-16T23:31:00Z</dcterms:created>
  <dcterms:modified xsi:type="dcterms:W3CDTF">2026-02-16T23:31:00Z</dcterms:modified>
</cp:coreProperties>
</file>